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2D0A3A">
        <w:rPr>
          <w:b/>
        </w:rPr>
        <w:t>, 11-10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2D0A3A">
        <w:t>November 16,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0964F2">
        <w:t>Investigations Involving Guardianship Employees</w:t>
      </w:r>
    </w:p>
    <w:p w:rsidR="000964F2" w:rsidRDefault="000964F2" w:rsidP="00F34606">
      <w:pPr>
        <w:ind w:left="1440" w:hanging="2340"/>
      </w:pPr>
    </w:p>
    <w:p w:rsidR="00AD4E9A" w:rsidRDefault="00AD4E9A" w:rsidP="000964F2">
      <w:pPr>
        <w:ind w:left="-900"/>
      </w:pPr>
      <w:r>
        <w:t>Please review the following new</w:t>
      </w:r>
      <w:r w:rsidR="000964F2">
        <w:t xml:space="preserve"> SOP that has </w:t>
      </w:r>
      <w:r>
        <w:t>been drafted</w:t>
      </w:r>
      <w:r w:rsidR="000964F2">
        <w:t xml:space="preserve"> to outline procedures </w:t>
      </w:r>
      <w:r>
        <w:t>for</w:t>
      </w:r>
      <w:r w:rsidR="000964F2">
        <w:t xml:space="preserve"> staff when completing investigations of allegations of abuse, neglect or exploitation involving the Department for Aging and Independent Living (DAIL)</w:t>
      </w:r>
      <w:r>
        <w:t xml:space="preserve"> Division of Guardianship staff:</w:t>
      </w:r>
    </w:p>
    <w:p w:rsidR="00AD4E9A" w:rsidRDefault="00AD4E9A" w:rsidP="000964F2">
      <w:pPr>
        <w:ind w:left="-900"/>
      </w:pPr>
    </w:p>
    <w:p w:rsidR="00AD4E9A" w:rsidRPr="00DA2ED0" w:rsidRDefault="00DA2ED0" w:rsidP="00AD4E9A">
      <w:pPr>
        <w:pStyle w:val="ListParagraph"/>
        <w:numPr>
          <w:ilvl w:val="0"/>
          <w:numId w:val="3"/>
        </w:numPr>
      </w:pPr>
      <w:hyperlink r:id="rId10" w:history="1">
        <w:r w:rsidR="00AD4E9A" w:rsidRPr="00DA2ED0">
          <w:rPr>
            <w:rStyle w:val="Hyperlink"/>
          </w:rPr>
          <w:t>SOP 20.8 Investigations Involving the Department for Aging and Independent Living (DAIL) Division of Guardianship Employees.</w:t>
        </w:r>
      </w:hyperlink>
    </w:p>
    <w:p w:rsidR="00AD4E9A" w:rsidRDefault="00AD4E9A" w:rsidP="000964F2">
      <w:pPr>
        <w:ind w:left="-900"/>
      </w:pPr>
    </w:p>
    <w:p w:rsidR="000964F2" w:rsidRDefault="00AD4E9A" w:rsidP="000964F2">
      <w:pPr>
        <w:ind w:left="-900"/>
      </w:pPr>
      <w:r>
        <w:t>This SOP was created to clarify the agency’s protocol regarding how to handle these types of investigations now</w:t>
      </w:r>
      <w:r w:rsidR="00232D49">
        <w:t xml:space="preserve"> that</w:t>
      </w:r>
      <w:r>
        <w:t xml:space="preserve"> the Division of Guardianship has been placed under DAIL.  </w:t>
      </w:r>
      <w:r w:rsidR="000964F2">
        <w:t xml:space="preserve"> </w:t>
      </w:r>
      <w:r w:rsidR="00187FE0">
        <w:t xml:space="preserve"> </w:t>
      </w:r>
      <w:r w:rsidR="000964F2">
        <w:t xml:space="preserve"> </w:t>
      </w:r>
    </w:p>
    <w:p w:rsidR="00AD4E9A" w:rsidRDefault="00AD4E9A" w:rsidP="000964F2">
      <w:pPr>
        <w:ind w:left="-900"/>
      </w:pPr>
    </w:p>
    <w:p w:rsidR="00AD4E9A" w:rsidRPr="00FC1BDF" w:rsidRDefault="00AD4E9A" w:rsidP="000964F2">
      <w:pPr>
        <w:ind w:left="-900"/>
      </w:pPr>
      <w:r>
        <w:t xml:space="preserve">If you have any questions regarding this transmittal letter, please contact via e-mail, </w:t>
      </w:r>
      <w:hyperlink r:id="rId11" w:history="1">
        <w:r w:rsidRPr="0000439E">
          <w:rPr>
            <w:rStyle w:val="Hyperlink"/>
          </w:rPr>
          <w:t>steven.fisher@ky.gov</w:t>
        </w:r>
      </w:hyperlink>
      <w:r>
        <w:t xml:space="preserve"> or by telephone at (502) 564-5043, ext. 4448.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F2" w:rsidRDefault="000964F2" w:rsidP="00F34606">
      <w:r>
        <w:separator/>
      </w:r>
    </w:p>
  </w:endnote>
  <w:endnote w:type="continuationSeparator" w:id="0">
    <w:p w:rsidR="000964F2" w:rsidRDefault="000964F2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D" w:rsidRDefault="00C35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D" w:rsidRDefault="00C35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5A24EF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F2" w:rsidRDefault="000964F2" w:rsidP="00F34606">
      <w:r>
        <w:separator/>
      </w:r>
    </w:p>
  </w:footnote>
  <w:footnote w:type="continuationSeparator" w:id="0">
    <w:p w:rsidR="000964F2" w:rsidRDefault="000964F2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D" w:rsidRDefault="00C35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D" w:rsidRDefault="00C35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5A24EF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5A24EF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5F7"/>
    <w:multiLevelType w:val="hybridMultilevel"/>
    <w:tmpl w:val="AF90CAD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964F2"/>
    <w:rsid w:val="000E2BC8"/>
    <w:rsid w:val="000E6100"/>
    <w:rsid w:val="00187FE0"/>
    <w:rsid w:val="001E5FED"/>
    <w:rsid w:val="001F1F10"/>
    <w:rsid w:val="00221254"/>
    <w:rsid w:val="00232D49"/>
    <w:rsid w:val="00235179"/>
    <w:rsid w:val="002D0A3A"/>
    <w:rsid w:val="002D0AE9"/>
    <w:rsid w:val="003330E9"/>
    <w:rsid w:val="0038680D"/>
    <w:rsid w:val="004675F9"/>
    <w:rsid w:val="004B79EA"/>
    <w:rsid w:val="004E71B1"/>
    <w:rsid w:val="00595A0F"/>
    <w:rsid w:val="005A24EF"/>
    <w:rsid w:val="005B5FF2"/>
    <w:rsid w:val="00697083"/>
    <w:rsid w:val="006C6989"/>
    <w:rsid w:val="00840C42"/>
    <w:rsid w:val="008A4DA4"/>
    <w:rsid w:val="008B5114"/>
    <w:rsid w:val="008C01FC"/>
    <w:rsid w:val="009F5E29"/>
    <w:rsid w:val="00A669C9"/>
    <w:rsid w:val="00AD4E9A"/>
    <w:rsid w:val="00BF28D2"/>
    <w:rsid w:val="00C26BDB"/>
    <w:rsid w:val="00C35F1D"/>
    <w:rsid w:val="00C52129"/>
    <w:rsid w:val="00CB1E0A"/>
    <w:rsid w:val="00CC2506"/>
    <w:rsid w:val="00CC5368"/>
    <w:rsid w:val="00DA2ED0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n.fisher@k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nuals.sp.chfs.ky.gov/chapter20/Pages/208InvestigationsInvolvingtheDepartmentforAgingandIndependentLiving(DAIL)DivisionofGuardianshipEmployee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E782B-FAC8-4B74-BB29-7D400CB99D56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template</vt:lpstr>
    </vt:vector>
  </TitlesOfParts>
  <Company>Commonwealth of Kentucky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11-10 Investigations Involving Guardianship Employees</dc:title>
  <dc:creator>sarah.cooper</dc:creator>
  <cp:lastModifiedBy>lisar.smith</cp:lastModifiedBy>
  <cp:revision>6</cp:revision>
  <dcterms:created xsi:type="dcterms:W3CDTF">2011-10-26T16:29:00Z</dcterms:created>
  <dcterms:modified xsi:type="dcterms:W3CDTF">2011-11-16T19:31:00Z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_CheckOutSrcUrl">
    <vt:lpwstr>https://manuals-sp-chfs-edit.ky.gov/Resources/PPTL Library/PPTL-  Investigations Involving Guardianship Employees.docx</vt:lpwstr>
  </property>
  <property fmtid="{D5CDD505-2E9C-101B-9397-08002B2CF9AE}" pid="4" name="Order">
    <vt:r8>5500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Archived">
    <vt:bool>false</vt:bool>
  </property>
  <property fmtid="{D5CDD505-2E9C-101B-9397-08002B2CF9AE}" pid="13" name="Memo Types">
    <vt:lpwstr>PPTL</vt:lpwstr>
  </property>
  <property fmtid="{D5CDD505-2E9C-101B-9397-08002B2CF9AE}" pid="14" name="Types">
    <vt:lpwstr>Memo</vt:lpwstr>
  </property>
  <property fmtid="{D5CDD505-2E9C-101B-9397-08002B2CF9AE}" pid="15" name="Document Year">
    <vt:lpwstr>2011</vt:lpwstr>
  </property>
</Properties>
</file>